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0.tiff" ContentType="image/tiff"/>
  <Override PartName="/word/media/rId223.tiff" ContentType="image/tiff"/>
  <Override PartName="/word/media/rId226.tiff" ContentType="image/tiff"/>
  <Override PartName="/word/media/rId229.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21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osf.io/veczn/ and github.com/shilaan/sequential-testing.</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11,368</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w:r>
        <w:rPr>
          <w:iCs/>
          <w:i/>
        </w:rPr>
        <w:t xml:space="preserve">p</w:t>
      </w:r>
      <w:r>
        <w:t xml:space="preserve"> </w:t>
      </w:r>
      <m:oMath>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during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space their looks equally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can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designs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w:t>
      </w:r>
      <w:r>
        <w:t xml:space="preserve"> </w:t>
      </w:r>
      <w:r>
        <w:t xml:space="preserve">(which can be easily implemented in widely used sequential analysis software such as</w:t>
      </w:r>
      <w:r>
        <w:t xml:space="preserve"> </w:t>
      </w:r>
      <w:r>
        <w:rPr>
          <w:rStyle w:val="VerbatimChar"/>
        </w:rPr>
        <w:t xml:space="preserve">rpact</w:t>
      </w:r>
      <w:r>
        <w:t xml:space="preserve">; Wassmer &amp; Pahlke, 2021)</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offer a more balanced comparison between the two procedures. First, because the group-sequential approach also offers a principled decision rule to reject an alternative hypothesis, I implement the group-sequential designs with binding futility bounds. Second,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the sequential Bayes Factor</w:t>
      </w:r>
      <w:r>
        <w:t xml:space="preserve"> </w:t>
      </w:r>
      <w:r>
        <w:t xml:space="preserve">(Schonbrodt et al., 2017)</w:t>
      </w:r>
      <w:r>
        <w:t xml:space="preserve">, and the Independent Segments Procedure</w:t>
      </w:r>
      <w:r>
        <w:t xml:space="preserve"> </w:t>
      </w:r>
      <w:r>
        <w:t xml:space="preserve">(Miller &amp; Ulrich, 2020)</w:t>
      </w:r>
      <w:r>
        <w:t xml:space="preserve">.</w:t>
      </w:r>
    </w:p>
    <w:p>
      <w:pPr>
        <w:pStyle w:val="Textkrper"/>
      </w:pPr>
      <w:r>
        <w:t xml:space="preserve">To facilitate discussion, I focus on one typical scenario in reporting the simulation results.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I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rPr>
                <m:nor/>
                <m:sty m:val="p"/>
              </m:rPr>
              <m:t>fixed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code, and research materials are available at osf.io/veczn and github.com/shilaan/sequential-testing.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Figure 4 shows the True Positive, Inconclusive, and False Negative rates for all population effect sizes greater than zero (</w:t>
      </w:r>
      <m:oMath>
        <m:r>
          <m:t>δ</m:t>
        </m:r>
      </m:oMath>
      <w:r>
        <w:t xml:space="preserve"> </w:t>
      </w:r>
      <w:r>
        <w:t xml:space="preserve">= 0.2, 0.4, 0.6, 0.8, 1).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is often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the first segment (recall that, for the O’Brien-Fleming-like procedure,</w:t>
      </w:r>
      <w:r>
        <w:t xml:space="preserve"> </w:t>
      </w:r>
      <m:oMath>
        <m:sSub>
          <m:e>
            <m:r>
              <m:t>α</m:t>
            </m:r>
          </m:e>
          <m:sub>
            <m:r>
              <m:t>1</m:t>
            </m:r>
            <m:r>
              <m:rPr>
                <m:sty m:val="p"/>
              </m:rPr>
              <m:t>,</m:t>
            </m:r>
            <m:r>
              <m:t>1</m:t>
            </m:r>
          </m:sub>
        </m:sSub>
      </m:oMath>
      <w:r>
        <w:t xml:space="preserve"> </w:t>
      </w:r>
      <w:r>
        <w:t xml:space="preserve">= .0056).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 A1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consistently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In meta-analyses of findings stemming from cumulative sequential procedures (such as the SBF and the GS designs), less weight will be given to the relatively biased findings stemming from earlier terminations and – because of their larger sample sizes – more weight will be given to the relatively unbiased findings stemming from later terminations. As a result, the meta-analytic bias in the effect size estimates becomes negligible. Unfortunately, this is not the case for the Independent Segments Procedure. For the Independent Segments Procedure, the first</w:t>
      </w:r>
      <w:r>
        <w:t xml:space="preserve"> </w:t>
      </w:r>
      <m:oMath>
        <m:sSub>
          <m:e>
            <m:r>
              <m:t>k</m:t>
            </m:r>
          </m:e>
          <m:sub>
            <m:r>
              <m:t>m</m:t>
            </m:r>
            <m:r>
              <m:t>a</m:t>
            </m:r>
            <m:r>
              <m:t>x</m:t>
            </m:r>
          </m:sub>
        </m:sSub>
        <m:r>
          <m:rPr>
            <m:sty m:val="p"/>
          </m:rPr>
          <m:t>−</m:t>
        </m:r>
        <m:r>
          <m:t>1</m:t>
        </m:r>
      </m:oMath>
      <w:r>
        <w:t xml:space="preserve"> </w:t>
      </w:r>
      <w:r>
        <w:t xml:space="preserve">segments are highly biased due to their low power, which only allows very small or very large effects to filter through. The last segment has slightly higher power because a weaker</w:t>
      </w:r>
      <w:r>
        <w:t xml:space="preserve"> </w:t>
      </w:r>
      <m:oMath>
        <m:r>
          <m:t>α</m:t>
        </m:r>
      </m:oMath>
      <w:r>
        <w:t xml:space="preserve"> </w:t>
      </w:r>
      <w:r>
        <w:t xml:space="preserve">is set (although this increase in power is less substantial than for cumulative procedures, which receive a marked increase in power due to their accumulating sample size as the study progresses), and thus tends to be slightly less biased. However, because each independent segment has equal sample sizes, they are all given equal weight. As a result, the overall bias in the effect size estimates remains severe.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The uncorrected median effect size estimates stemming from the Pocock-like and O’Brien-Fleming-like designs deviate only slightly from the true population effect size. When the population effect size is relatively small (</w:t>
      </w:r>
      <m:oMath>
        <m:r>
          <m:t>δ</m:t>
        </m:r>
        <m:r>
          <m:rPr>
            <m:sty m:val="p"/>
          </m:rPr>
          <m:t>&lt;</m:t>
        </m:r>
        <m:r>
          <m:t>0.2</m:t>
        </m:r>
      </m:oMath>
      <w:r>
        <w:t xml:space="preserve">), the Pocock-like and O’Brien-Fleming-like effect size estimates slightly underestimate the true effect; when the population effect size is relatively large (</w:t>
      </w:r>
      <m:oMath>
        <m:r>
          <m:t>δ</m:t>
        </m:r>
        <m:r>
          <m:rPr>
            <m:sty m:val="p"/>
          </m:rPr>
          <m:t>&gt;</m:t>
        </m:r>
        <m:r>
          <m:t>0.4</m:t>
        </m:r>
      </m:oMath>
      <w:r>
        <w:t xml:space="preserve">), the Pocock-like and O’Brien-Fleming-like effect size estimates slightly overestimate the true population effect size. As can be read in the Table, the group-sequential median-unbiased estimator, used to adjust for bias in the effect size estimates, provides a remarkable improvement in the accuracy of the parameter estimates. In all cases, the group-sequential bias-adjusted effect size estimate is equal to or no more than</w:t>
      </w:r>
      <w:r>
        <w:t xml:space="preserve"> </w:t>
      </w:r>
      <m:oMath>
        <m:r>
          <m:t>d</m:t>
        </m:r>
      </m:oMath>
      <w:r>
        <w:t xml:space="preserve"> </w:t>
      </w:r>
      <w:r>
        <w:t xml:space="preserve">= 0.02 removed from the true population parameter.</w:t>
      </w:r>
    </w:p>
    <w:p>
      <w:pPr>
        <w:pStyle w:val="Textkrper"/>
      </w:pPr>
      <w:r>
        <w:t xml:space="preserve">For the unadjusted Bayesian effect size estimates, a similar patterns holds: smaller effect sizes are slightly underestimated, while larger effect sizes are slightly overestimated. The bias-adjusted estimate (the mean of the posterior distribution) increases the estimates for smaller population effect sizes (i.e., for early terminations in which the null was accepted), and shrinks the estimates for larger population effect sizes (i.e., for early terminations in which the alternative was accepted). Although this provides a slight improvement in the parameter estimate for certain population effect sizes (</w:t>
      </w:r>
      <m:oMath>
        <m:r>
          <m:t>δ</m:t>
        </m:r>
      </m:oMath>
      <w:r>
        <w:t xml:space="preserve"> </w:t>
      </w:r>
      <w:r>
        <w:t xml:space="preserve">= 0.2, 0.5, and 0.6), the Bayesian bias-corrected estimates do not perform as well as the group-sequential bias-corrected estimates. The mean of the posterior distribution either slightly improves or, for certain parameters, overcorrects the unadjusted Bayesian effect size estimates.</w:t>
      </w:r>
    </w:p>
    <w:p>
      <w:pPr>
        <w:pStyle w:val="Textkrper"/>
      </w:pPr>
      <w:r>
        <w:t xml:space="preserve">Again, we see that the median effect size estimates stemming from the Independent Segments Procedure deviate most from the true population effect size. 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0.05, compared to the following unadjusted (adjusted) estimates for the Pocock-like, SBF, and O’Brien-Fleming-like procedures: 0.13 (0.20), 0.14 (0.17), and 0.16 (0.20). The bias-corrected estimates are no further than</w:t>
      </w:r>
      <w:r>
        <w:t xml:space="preserve"> </w:t>
      </w:r>
      <w:r>
        <w:rPr>
          <w:iCs/>
          <w:i/>
        </w:rPr>
        <w:t xml:space="preserve">d</w:t>
      </w:r>
      <w:r>
        <w:t xml:space="preserve"> </w:t>
      </w:r>
      <w:r>
        <w:t xml:space="preserve">= 0.03 removed from the true population value (with the group-sequential estimates not at all deviating from the true value), while the ISP underestimates the population value by</w:t>
      </w:r>
      <w:r>
        <w:t xml:space="preserve"> </w:t>
      </w:r>
      <w:r>
        <w:rPr>
          <w:iCs/>
          <w:i/>
        </w:rPr>
        <w:t xml:space="preserve">d</w:t>
      </w:r>
      <w:r>
        <w:t xml:space="preserve"> </w:t>
      </w:r>
      <w:r>
        <w:t xml:space="preserve">= 0.15.</w:t>
      </w:r>
    </w:p>
    <w:p>
      <w:pPr>
        <w:pStyle w:val="Textkrper"/>
      </w:pPr>
      <w:r>
        <w:t xml:space="preserve">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the following unadjusted (adjusted) estimates for the SBF, Pocock-like, and O’Brien-Fleming-like procedures: 0.47 (0.47), 0.45 (0.39), and 0.45 (0.40). The bias-corrected estimates are no further than</w:t>
      </w:r>
      <w:r>
        <w:t xml:space="preserve"> </w:t>
      </w:r>
      <w:r>
        <w:rPr>
          <w:iCs/>
          <w:i/>
        </w:rPr>
        <w:t xml:space="preserve">d</w:t>
      </w:r>
      <w:r>
        <w:t xml:space="preserve"> </w:t>
      </w:r>
      <w:r>
        <w:t xml:space="preserve">= 0.07 removed from the true population value (with the group-sequential estimates deviating only</w:t>
      </w:r>
      <w:r>
        <w:t xml:space="preserve"> </w:t>
      </w:r>
      <w:r>
        <w:rPr>
          <w:iCs/>
          <w:i/>
        </w:rPr>
        <w:t xml:space="preserve">d</w:t>
      </w:r>
      <w:r>
        <w:t xml:space="preserve"> </w:t>
      </w:r>
      <w:r>
        <w:t xml:space="preserve">= 0.01 from the true value), while the ISP overestimates the population value by</w:t>
      </w:r>
      <w:r>
        <w:t xml:space="preserve"> </w:t>
      </w:r>
      <w:r>
        <w:rPr>
          <w:iCs/>
          <w:i/>
        </w:rPr>
        <w:t xml:space="preserve">d</w:t>
      </w:r>
      <w:r>
        <w:t xml:space="preserve"> </w:t>
      </w:r>
      <w:r>
        <w:t xml:space="preserve">= 0.17.</w:t>
      </w:r>
    </w:p>
    <w:p>
      <w:pPr>
        <w:pStyle w:val="Textkrper"/>
      </w:pPr>
      <w:r>
        <w:t xml:space="preserve">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the following unadjusted (adjusted) estimates for the Pocock-like, SBF, and O’Brien-Fleming-like procedures: 0.67 (0.58), 0.65 (0.62), and 0.64 (0.59). The bias-corrected estimates are no further than</w:t>
      </w:r>
      <w:r>
        <w:t xml:space="preserve"> </w:t>
      </w:r>
      <w:r>
        <w:rPr>
          <w:iCs/>
          <w:i/>
        </w:rPr>
        <w:t xml:space="preserve">d</w:t>
      </w:r>
      <w:r>
        <w:t xml:space="preserve"> </w:t>
      </w:r>
      <w:r>
        <w:t xml:space="preserve">= 0.02 removed from the true population value, while the ISP overestimates the population value by</w:t>
      </w:r>
      <w:r>
        <w:t xml:space="preserve"> </w:t>
      </w:r>
      <w:r>
        <w:rPr>
          <w:iCs/>
          <w:i/>
        </w:rPr>
        <w:t xml:space="preserve">d</w:t>
      </w:r>
      <w:r>
        <w:t xml:space="preserve"> </w:t>
      </w:r>
      <w:r>
        <w:t xml:space="preserve">= 0.14.</w:t>
      </w:r>
    </w:p>
    <w:p>
      <w:pPr>
        <w:pStyle w:val="Textkrper"/>
      </w:pPr>
      <w:r>
        <w:t xml:space="preserve">In our simulations, we find that – for moderate population parameters (0.4 &lt;</w:t>
      </w:r>
      <w:r>
        <w:t xml:space="preserve"> </w:t>
      </w:r>
      <m:oMath>
        <m:r>
          <m:t>δ</m:t>
        </m:r>
      </m:oMath>
      <w:r>
        <w:t xml:space="preserve"> </w:t>
      </w:r>
      <w:r>
        <w:t xml:space="preserve">&lt; 0.6) – the ISP (powered to detect an effect of</w:t>
      </w:r>
      <w:r>
        <w:t xml:space="preserve"> </w:t>
      </w:r>
      <m:oMath>
        <m:r>
          <m:t>δ</m:t>
        </m:r>
      </m:oMath>
      <w:r>
        <w:t xml:space="preserve"> </w:t>
      </w:r>
      <w:r>
        <w:t xml:space="preserve">= 0.5, with</w:t>
      </w:r>
      <w:r>
        <w:t xml:space="preserve"> </w:t>
      </w:r>
      <m:oMath>
        <m:r>
          <m:t>1</m:t>
        </m:r>
        <m:r>
          <m:rPr>
            <m:sty m:val="p"/>
          </m:rPr>
          <m:t>−</m:t>
        </m:r>
        <m:r>
          <m:t>β</m:t>
        </m:r>
        <m:r>
          <m:rPr>
            <m:sty m:val="p"/>
          </m:rPr>
          <m:t>=</m:t>
        </m:r>
        <m:r>
          <m:t>0.8</m:t>
        </m:r>
      </m:oMath>
      <w:r>
        <w:t xml:space="preserve">) severely overestimates effect sizes. In Figure A4 in Appendix A, the reader can find that this observation generalizes across many different specifications of statistical power and hypothesized effect size. Due to the low power of each independent segment, the critical effect size is higher – thus, observed significant effects are likely to exaggerate the true population parameter. In Figure A4, we find that this exaggeration is severe. For example, when</w:t>
      </w:r>
      <w:r>
        <w:t xml:space="preserve"> </w:t>
      </w:r>
      <m:oMath>
        <m:r>
          <m:t>δ</m:t>
        </m:r>
        <m:r>
          <m:rPr>
            <m:sty m:val="p"/>
          </m:rPr>
          <m:t>=</m:t>
        </m:r>
        <m:r>
          <m:t>0.6</m:t>
        </m:r>
      </m:oMath>
      <w:r>
        <w:t xml:space="preserve"> </w:t>
      </w:r>
      <w:r>
        <w:t xml:space="preserve">and power is 80%, the probability of observing a significant effect that is more than 1.5 times the size of the true population parameter (i.e., the probability of observing</w:t>
      </w:r>
      <w:r>
        <w:t xml:space="preserve"> </w:t>
      </w:r>
      <w:r>
        <w:rPr>
          <w:iCs/>
          <w:i/>
        </w:rPr>
        <w:t xml:space="preserve">d</w:t>
      </w:r>
      <w:r>
        <w:t xml:space="preserve"> </w:t>
      </w:r>
      <w:r>
        <w:t xml:space="preserve">&gt; 0.9) is 45%, compared to only 15% for a fixed sample hypothesis test.</w:t>
      </w:r>
    </w:p>
    <w:p>
      <w:pPr>
        <w:pStyle w:val="Textkrper"/>
      </w:pPr>
      <w:r>
        <w:t xml:space="preserve">Figure 7 visualizes the information captured by Table 4, illustrating the differences between the median estimated effect sizes and the true effect sizes. For the Sequential Bayes Factor, we can see that the uncorrected estimated slightly underestimate the true population effect size when it is small, and slightly overestimate the true population effect size when it is large. The bias-adjusted estimate, the mean of the posterior distribution, corrects for this phenomenon – but, as noted before, the Bayesian bias-adjusted estimates only provide a slight improvement or, for certain parameters, an overcorrection. Contrast this with the two bottom row panels for the group-sequential designs. Here, we witness that the group-sequential median unbiased estimator lives up to its name. As before, the ISP shows the greatest overall deviation from the true effect size.</w:t>
      </w:r>
    </w:p>
    <w:p>
      <w:pPr>
        <w:pStyle w:val="Textkrper"/>
      </w:pPr>
      <w:r>
        <w:t xml:space="preserve">Figure 8 shows the mean squared error of the five procedures for the naive effect size estimates and the available bias-adjusted estimates.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w:t>
      </w:r>
    </w:p>
    <w:p>
      <w:pPr>
        <w:pStyle w:val="Textkrper"/>
      </w:pPr>
      <w:r>
        <w:t xml:space="preserve">In Figures A2 and A3 in Appendix A, the reader can observe that our findings regarding the bias, variance, and mean squared error of the Independent Segments Procedure generalize across many different test specifications. In the language of decision theory, the ISP is inadmissible: its total squared error risk exceeds that of other hypothesis testing procedures (in our worked example of</w:t>
      </w:r>
      <w:r>
        <w:t xml:space="preserve"> </w:t>
      </w:r>
      <m:oMath>
        <m:r>
          <m:t>δ</m:t>
        </m:r>
      </m:oMath>
      <w:r>
        <w:t xml:space="preserve"> </w:t>
      </w:r>
      <w:r>
        <w:t xml:space="preserve">= 0.5, MSE = 0.13 for the ISP, compared to 0.08 for the Pocock-like design, 0.06 for the O’Brien-Fleming design, 0.05 for the SBF, and 0.04 for the fixed-sample procedure).</w:t>
      </w:r>
    </w:p>
    <w:p>
      <w:pPr>
        <w:pStyle w:val="Textkrper"/>
      </w:pPr>
      <w:r>
        <w:t xml:space="preserve">To provide more meat to the argument that the error of the ISP is caused by the process of conducting three independent mini-experiments, we separate the error of the procedures by segment in Figure 9. Here, we can clearly see that stopping after a first look causes error for all sequential procedures. For both the SBF and the group-sequential procedures,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 We can see that the error for the first</w:t>
      </w:r>
      <w:r>
        <w:t xml:space="preserve"> </w:t>
      </w:r>
      <m:oMath>
        <m:sSub>
          <m:e>
            <m:r>
              <m:t>k</m:t>
            </m:r>
          </m:e>
          <m:sub>
            <m:r>
              <m:t>m</m:t>
            </m:r>
            <m:r>
              <m:t>a</m:t>
            </m:r>
            <m:r>
              <m:t>x</m:t>
            </m:r>
          </m:sub>
        </m:sSub>
        <m:r>
          <m:rPr>
            <m:sty m:val="p"/>
          </m:rPr>
          <m:t>−</m:t>
        </m:r>
        <m:r>
          <m:t>1</m:t>
        </m:r>
      </m:oMath>
      <w:r>
        <w:t xml:space="preserve"> </w:t>
      </w:r>
      <w:r>
        <w:t xml:space="preserve">segments is highest, while the error for the last segment is slightly decreased. As discussed before, this is due to the slightly higher power of the last segment, for which a weaker</w:t>
      </w:r>
      <w:r>
        <w:t xml:space="preserve"> </w:t>
      </w:r>
      <m:oMath>
        <m:r>
          <m:t>α</m:t>
        </m:r>
      </m:oMath>
      <w:r>
        <w:t xml:space="preserve"> </w:t>
      </w:r>
      <w:r>
        <w:t xml:space="preserve">is set. This error reduction, however, simply does not compare to the reduction that would have been obtained had the experiment been cumulative.</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 Table 1 presents several of the commonalities and differences between the sequential hypothesis testing procedures.</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Pramanik et al., 2021)</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 the probability of stopping for efficacy.</w:t>
      </w:r>
    </w:p>
    <w:p>
      <w:pPr>
        <w:pStyle w:val="Textkrper"/>
      </w:pPr>
      <w:r>
        <w:t xml:space="preserve">Although the ISP has some advantages, none of these advantages are unique. Efficiency and explicit error control can be achieved through alternative methods—none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Increasing the power of the individual segments likely means, however, that the user will have to power the overall procedure to well over 90% (see Figure A1 in the Appendix). Consequently, much of the desired efficiency gains will be lost. Given the existence of appealing alternatives that have the same advantages as the ISP (i.e., the ability to efficiently test hypotheses with explicit error control), without its associated disadvantages (i.e., the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design. 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For Sequential Bayes Factors, the mean of the posterior distribution shrinks the effect size estimate in case of early terminations that rejected the null. However, the mean of the posterior distribution does not always provide an improvement: at times, the adjusted estimate is further removed from the true value than the unadjusted estimate. In the case of group-sequential designs, however, we find a remarkable increase in the accuracy of parameter estimation when relying on available median unbiased estimators. Thus, users of group-sequential designs are recommended to always use bias-adjusted estimates for parameter estimation. Overall, the Sequential Bayes Factor and group-sequential procedures can substantially increase research efficiency at only a slight cost to our ability to estimate an effect size.</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For researchers who wish to utilize the benefits of sequential hypothesis testing while retaining their ability to obtain a credible effect size estimate, group-sequential designs and Sequential Bayes Factor are an especially good fit. Sequential hypothesis testing procedures are valuable tools for psychological scientists to add to their statistical toolbox.</w:t>
      </w:r>
    </w:p>
    <w:p>
      <w:r>
        <w:br w:type="page"/>
      </w:r>
    </w:p>
    <w:bookmarkEnd w:id="41"/>
    <w:bookmarkStart w:id="218" w:name="references"/>
    <w:p>
      <w:pPr>
        <w:pStyle w:val="berschrift1"/>
      </w:pPr>
      <w:r>
        <w:t xml:space="preserve">References</w:t>
      </w:r>
    </w:p>
    <w:bookmarkStart w:id="171"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3">
        <w:r>
          <w:rPr>
            <w:rStyle w:val="Hyperlink"/>
          </w:rPr>
          <w:t xml:space="preserve">https://doi.org/10.1098/rsta.1922.0009</w:t>
        </w:r>
      </w:hyperlink>
    </w:p>
    <w:bookmarkEnd w:id="74"/>
    <w:bookmarkStart w:id="76"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5">
        <w:r>
          <w:rPr>
            <w:rStyle w:val="Hyperlink"/>
          </w:rPr>
          <w:t xml:space="preserve">https://doi.org/10.1016/S0197-2456(84)80014-8</w:t>
        </w:r>
      </w:hyperlink>
    </w:p>
    <w:bookmarkEnd w:id="76"/>
    <w:bookmarkStart w:id="78"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7">
        <w:r>
          <w:rPr>
            <w:rStyle w:val="Hyperlink"/>
          </w:rPr>
          <w:t xml:space="preserve">https://doi.org/10.7326/0003-4819-130-12-199906150-00008</w:t>
        </w:r>
      </w:hyperlink>
    </w:p>
    <w:bookmarkEnd w:id="78"/>
    <w:bookmarkStart w:id="80"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79">
        <w:r>
          <w:rPr>
            <w:rStyle w:val="Hyperlink"/>
          </w:rPr>
          <w:t xml:space="preserve">https://doi.org/10.7326/0003-4819-146-12-200706190-00010</w:t>
        </w:r>
      </w:hyperlink>
    </w:p>
    <w:bookmarkEnd w:id="80"/>
    <w:bookmarkStart w:id="82"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1">
        <w:r>
          <w:rPr>
            <w:rStyle w:val="Hyperlink"/>
          </w:rPr>
          <w:t xml:space="preserve">https://doi.org/10.2105/AJPH.78.12.1568</w:t>
        </w:r>
      </w:hyperlink>
    </w:p>
    <w:bookmarkEnd w:id="82"/>
    <w:bookmarkStart w:id="84"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3">
        <w:r>
          <w:rPr>
            <w:rStyle w:val="Hyperlink"/>
          </w:rPr>
          <w:t xml:space="preserve">https://CRAN.R-project.org/package=purrr</w:t>
        </w:r>
      </w:hyperlink>
    </w:p>
    <w:bookmarkEnd w:id="84"/>
    <w:bookmarkStart w:id="85"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5"/>
    <w:bookmarkStart w:id="87"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6">
        <w:r>
          <w:rPr>
            <w:rStyle w:val="Hyperlink"/>
          </w:rPr>
          <w:t xml:space="preserve">https://doi.org/10.3758/s13423-016-1221-4</w:t>
        </w:r>
      </w:hyperlink>
    </w:p>
    <w:bookmarkEnd w:id="87"/>
    <w:bookmarkStart w:id="89"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88">
        <w:r>
          <w:rPr>
            <w:rStyle w:val="Hyperlink"/>
          </w:rPr>
          <w:t xml:space="preserve">https://doi.org/10.1002/ejsp.2023</w:t>
        </w:r>
      </w:hyperlink>
    </w:p>
    <w:bookmarkEnd w:id="89"/>
    <w:bookmarkStart w:id="91"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0">
        <w:r>
          <w:rPr>
            <w:rStyle w:val="Hyperlink"/>
          </w:rPr>
          <w:t xml:space="preserve">https://doi.org/10.1177/1948550617697177</w:t>
        </w:r>
      </w:hyperlink>
    </w:p>
    <w:bookmarkEnd w:id="91"/>
    <w:bookmarkStart w:id="93"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2">
        <w:r>
          <w:rPr>
            <w:rStyle w:val="Hyperlink"/>
          </w:rPr>
          <w:t xml:space="preserve">https://doi.org/10.1037/met0000400</w:t>
        </w:r>
      </w:hyperlink>
    </w:p>
    <w:bookmarkEnd w:id="93"/>
    <w:bookmarkStart w:id="95"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4">
        <w:r>
          <w:rPr>
            <w:rStyle w:val="Hyperlink"/>
          </w:rPr>
          <w:t xml:space="preserve">https://doi.org/10.1177/1745691620958012</w:t>
        </w:r>
      </w:hyperlink>
    </w:p>
    <w:bookmarkEnd w:id="95"/>
    <w:bookmarkStart w:id="97"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6">
        <w:r>
          <w:rPr>
            <w:rStyle w:val="Hyperlink"/>
          </w:rPr>
          <w:t xml:space="preserve">https://doi.org/10.1177/2515245918770963</w:t>
        </w:r>
      </w:hyperlink>
    </w:p>
    <w:bookmarkEnd w:id="97"/>
    <w:bookmarkStart w:id="99"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98">
        <w:r>
          <w:rPr>
            <w:rStyle w:val="Hyperlink"/>
          </w:rPr>
          <w:t xml:space="preserve">https://doi.org/10.1093/biomet/70.3.659</w:t>
        </w:r>
      </w:hyperlink>
    </w:p>
    <w:bookmarkEnd w:id="99"/>
    <w:bookmarkStart w:id="100"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0"/>
    <w:bookmarkStart w:id="101"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1"/>
    <w:bookmarkStart w:id="103"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2">
        <w:r>
          <w:rPr>
            <w:rStyle w:val="Hyperlink"/>
          </w:rPr>
          <w:t xml:space="preserve">https://doi.org/10.1017/9781107286184</w:t>
        </w:r>
      </w:hyperlink>
    </w:p>
    <w:bookmarkEnd w:id="103"/>
    <w:bookmarkStart w:id="105"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4">
        <w:r>
          <w:rPr>
            <w:rStyle w:val="Hyperlink"/>
          </w:rPr>
          <w:t xml:space="preserve">https://doi.org/10.1177/000276428102500205</w:t>
        </w:r>
      </w:hyperlink>
    </w:p>
    <w:bookmarkEnd w:id="105"/>
    <w:bookmarkStart w:id="107"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6">
        <w:r>
          <w:rPr>
            <w:rStyle w:val="Hyperlink"/>
          </w:rPr>
          <w:t xml:space="preserve">https://CRAN.R-project.org/package=foreach</w:t>
        </w:r>
      </w:hyperlink>
    </w:p>
    <w:bookmarkEnd w:id="107"/>
    <w:bookmarkStart w:id="109"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08">
        <w:r>
          <w:rPr>
            <w:rStyle w:val="Hyperlink"/>
          </w:rPr>
          <w:t xml:space="preserve">https://doi.org/10.1037/met0000350</w:t>
        </w:r>
      </w:hyperlink>
    </w:p>
    <w:bookmarkEnd w:id="109"/>
    <w:bookmarkStart w:id="111"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0">
        <w:r>
          <w:rPr>
            <w:rStyle w:val="Hyperlink"/>
          </w:rPr>
          <w:t xml:space="preserve">https://doi.org/10.5281/zenodo.838685</w:t>
        </w:r>
      </w:hyperlink>
    </w:p>
    <w:bookmarkEnd w:id="111"/>
    <w:bookmarkStart w:id="113"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2">
        <w:r>
          <w:rPr>
            <w:rStyle w:val="Hyperlink"/>
          </w:rPr>
          <w:t xml:space="preserve">https://doi.org/10.1037/a0024377</w:t>
        </w:r>
      </w:hyperlink>
    </w:p>
    <w:bookmarkEnd w:id="113"/>
    <w:bookmarkStart w:id="115"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4">
        <w:r>
          <w:rPr>
            <w:rStyle w:val="Hyperlink"/>
          </w:rPr>
          <w:t xml:space="preserve">https://CRAN.R-project.org/package=BayesFactor</w:t>
        </w:r>
      </w:hyperlink>
    </w:p>
    <w:bookmarkEnd w:id="115"/>
    <w:bookmarkStart w:id="117"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6">
        <w:r>
          <w:rPr>
            <w:rStyle w:val="Hyperlink"/>
          </w:rPr>
          <w:t xml:space="preserve">https://CRAN.R-project.org/package=tibble</w:t>
        </w:r>
      </w:hyperlink>
    </w:p>
    <w:bookmarkEnd w:id="117"/>
    <w:bookmarkStart w:id="119"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18">
        <w:r>
          <w:rPr>
            <w:rStyle w:val="Hyperlink"/>
          </w:rPr>
          <w:t xml:space="preserve">https://doi.org/10.1146/annurev-psych-122216-011836</w:t>
        </w:r>
      </w:hyperlink>
    </w:p>
    <w:bookmarkEnd w:id="119"/>
    <w:bookmarkStart w:id="120"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0"/>
    <w:bookmarkStart w:id="122"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1">
        <w:r>
          <w:rPr>
            <w:rStyle w:val="Hyperlink"/>
          </w:rPr>
          <w:t xml:space="preserve">https://journal.r-project.org/archive/</w:t>
        </w:r>
      </w:hyperlink>
    </w:p>
    <w:bookmarkEnd w:id="122"/>
    <w:bookmarkStart w:id="124"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3">
        <w:r>
          <w:rPr>
            <w:rStyle w:val="Hyperlink"/>
          </w:rPr>
          <w:t xml:space="preserve">https://doi.org/10.2307/2335684</w:t>
        </w:r>
      </w:hyperlink>
    </w:p>
    <w:bookmarkEnd w:id="124"/>
    <w:bookmarkStart w:id="126"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5">
        <w:r>
          <w:rPr>
            <w:rStyle w:val="Hyperlink"/>
          </w:rPr>
          <w:t xml:space="preserve">https://doi.org/10.1016/0197-2456(89)90059-7</w:t>
        </w:r>
      </w:hyperlink>
    </w:p>
    <w:bookmarkEnd w:id="126"/>
    <w:bookmarkStart w:id="128"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7">
        <w:r>
          <w:rPr>
            <w:rStyle w:val="Hyperlink"/>
          </w:rPr>
          <w:t xml:space="preserve">https://doi.org/10.1016/j.jmp.2021.102505</w:t>
        </w:r>
      </w:hyperlink>
    </w:p>
    <w:bookmarkEnd w:id="128"/>
    <w:bookmarkStart w:id="129"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29"/>
    <w:bookmarkStart w:id="131"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0">
        <w:r>
          <w:rPr>
            <w:rStyle w:val="Hyperlink"/>
          </w:rPr>
          <w:t xml:space="preserve">https://www.R-project.org/</w:t>
        </w:r>
      </w:hyperlink>
    </w:p>
    <w:bookmarkEnd w:id="131"/>
    <w:bookmarkStart w:id="133"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2">
        <w:r>
          <w:rPr>
            <w:rStyle w:val="Hyperlink"/>
          </w:rPr>
          <w:t xml:space="preserve">https://doi.org/10.1111/tops.12214</w:t>
        </w:r>
      </w:hyperlink>
    </w:p>
    <w:bookmarkEnd w:id="133"/>
    <w:bookmarkStart w:id="135"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4">
        <w:r>
          <w:rPr>
            <w:rStyle w:val="Hyperlink"/>
          </w:rPr>
          <w:t xml:space="preserve">https://doi.org/10.1037/met0000234</w:t>
        </w:r>
      </w:hyperlink>
    </w:p>
    <w:bookmarkEnd w:id="135"/>
    <w:bookmarkStart w:id="136"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6"/>
    <w:bookmarkStart w:id="138"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7">
        <w:r>
          <w:rPr>
            <w:rStyle w:val="Hyperlink"/>
          </w:rPr>
          <w:t xml:space="preserve">https://doi.org/10.1037/met0000061</w:t>
        </w:r>
      </w:hyperlink>
    </w:p>
    <w:bookmarkEnd w:id="138"/>
    <w:bookmarkStart w:id="140"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39">
        <w:r>
          <w:rPr>
            <w:rStyle w:val="Hyperlink"/>
          </w:rPr>
          <w:t xml:space="preserve">https://doi.org/10.3758/s13423-017-1230-y</w:t>
        </w:r>
      </w:hyperlink>
    </w:p>
    <w:bookmarkEnd w:id="140"/>
    <w:bookmarkStart w:id="142"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1">
        <w:r>
          <w:rPr>
            <w:rStyle w:val="Hyperlink"/>
          </w:rPr>
          <w:t xml:space="preserve">https://doi.org/10.1177/0956797611417632</w:t>
        </w:r>
      </w:hyperlink>
    </w:p>
    <w:bookmarkEnd w:id="142"/>
    <w:bookmarkStart w:id="144"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3">
        <w:r>
          <w:rPr>
            <w:rStyle w:val="Hyperlink"/>
          </w:rPr>
          <w:t xml:space="preserve">https://doi.org/10.3758/s13428-018-01189-8</w:t>
        </w:r>
      </w:hyperlink>
    </w:p>
    <w:bookmarkEnd w:id="144"/>
    <w:bookmarkStart w:id="146"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5">
        <w:r>
          <w:rPr>
            <w:rStyle w:val="Hyperlink"/>
          </w:rPr>
          <w:t xml:space="preserve">https://doi.org/10.31234/osf.io/ry4fw</w:t>
        </w:r>
      </w:hyperlink>
    </w:p>
    <w:bookmarkEnd w:id="146"/>
    <w:bookmarkStart w:id="148"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7">
        <w:r>
          <w:rPr>
            <w:rStyle w:val="Hyperlink"/>
          </w:rPr>
          <w:t xml:space="preserve">https://doi.org/10.3758/s13423-020-01798-5</w:t>
        </w:r>
      </w:hyperlink>
    </w:p>
    <w:bookmarkEnd w:id="148"/>
    <w:bookmarkStart w:id="149"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49"/>
    <w:bookmarkStart w:id="151"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0">
        <w:r>
          <w:rPr>
            <w:rStyle w:val="Hyperlink"/>
          </w:rPr>
          <w:t xml:space="preserve">https://doi.org/10.3758/s13423-017-1343-3</w:t>
        </w:r>
      </w:hyperlink>
    </w:p>
    <w:bookmarkEnd w:id="151"/>
    <w:bookmarkStart w:id="152"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2"/>
    <w:bookmarkStart w:id="154"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3">
        <w:r>
          <w:rPr>
            <w:rStyle w:val="Hyperlink"/>
          </w:rPr>
          <w:t xml:space="preserve">https://doi.org/10.1007/978-3-319-32562-0</w:t>
        </w:r>
      </w:hyperlink>
    </w:p>
    <w:bookmarkEnd w:id="154"/>
    <w:bookmarkStart w:id="156"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5">
        <w:r>
          <w:rPr>
            <w:rStyle w:val="Hyperlink"/>
          </w:rPr>
          <w:t xml:space="preserve">https://CRAN.R-project.org/package=rpact</w:t>
        </w:r>
      </w:hyperlink>
    </w:p>
    <w:bookmarkEnd w:id="156"/>
    <w:bookmarkStart w:id="158"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7">
        <w:r>
          <w:rPr>
            <w:rStyle w:val="Hyperlink"/>
          </w:rPr>
          <w:t xml:space="preserve">https://ggplot2.tidyverse.org</w:t>
        </w:r>
      </w:hyperlink>
    </w:p>
    <w:bookmarkEnd w:id="158"/>
    <w:bookmarkStart w:id="160"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59">
        <w:r>
          <w:rPr>
            <w:rStyle w:val="Hyperlink"/>
          </w:rPr>
          <w:t xml:space="preserve">https://CRAN.R-project.org/package=stringr</w:t>
        </w:r>
      </w:hyperlink>
    </w:p>
    <w:bookmarkEnd w:id="160"/>
    <w:bookmarkStart w:id="162"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1">
        <w:r>
          <w:rPr>
            <w:rStyle w:val="Hyperlink"/>
          </w:rPr>
          <w:t xml:space="preserve">https://CRAN.R-project.org/package=forcats</w:t>
        </w:r>
      </w:hyperlink>
    </w:p>
    <w:bookmarkEnd w:id="162"/>
    <w:bookmarkStart w:id="164"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3">
        <w:r>
          <w:rPr>
            <w:rStyle w:val="Hyperlink"/>
          </w:rPr>
          <w:t xml:space="preserve">https://CRAN.R-project.org/package=tidyr</w:t>
        </w:r>
      </w:hyperlink>
    </w:p>
    <w:bookmarkEnd w:id="164"/>
    <w:bookmarkStart w:id="166"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5">
        <w:r>
          <w:rPr>
            <w:rStyle w:val="Hyperlink"/>
          </w:rPr>
          <w:t xml:space="preserve">https://doi.org/10.21105/joss.01686</w:t>
        </w:r>
      </w:hyperlink>
    </w:p>
    <w:bookmarkEnd w:id="166"/>
    <w:bookmarkStart w:id="168"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7">
        <w:r>
          <w:rPr>
            <w:rStyle w:val="Hyperlink"/>
          </w:rPr>
          <w:t xml:space="preserve">https://CRAN.R-project.org/package=dplyr</w:t>
        </w:r>
      </w:hyperlink>
    </w:p>
    <w:bookmarkEnd w:id="168"/>
    <w:bookmarkStart w:id="170"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69">
        <w:r>
          <w:rPr>
            <w:rStyle w:val="Hyperlink"/>
          </w:rPr>
          <w:t xml:space="preserve">https://CRAN.R-project.org/package=readr</w:t>
        </w:r>
      </w:hyperlink>
    </w:p>
    <w:bookmarkEnd w:id="170"/>
    <w:bookmarkEnd w:id="171"/>
    <w:p>
      <w:r>
        <w:br w:type="page"/>
      </w:r>
    </w:p>
    <w:bookmarkStart w:id="172" w:name="table-1"/>
    <w:p>
      <w:pPr>
        <w:pStyle w:val="berschrift2"/>
      </w:pPr>
      <w:r>
        <w:t xml:space="preserve">Table 1</w:t>
      </w:r>
    </w:p>
    <w:bookmarkEnd w:id="172"/>
    <w:bookmarkStart w:id="173"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Principled rejection of the alternative</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Bias-adjusted estimator</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Consideration of prior beliefs</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Present and required</w:t>
            </w:r>
          </w:p>
        </w:tc>
      </w:tr>
    </w:tbl>
    <w:p>
      <w:r>
        <w:br w:type="page"/>
      </w:r>
    </w:p>
    <w:bookmarkEnd w:id="173"/>
    <w:bookmarkStart w:id="174" w:name="table-2a"/>
    <w:p>
      <w:pPr>
        <w:pStyle w:val="berschrift2"/>
      </w:pPr>
      <w:r>
        <w:t xml:space="preserve">Table 2A</w:t>
      </w:r>
    </w:p>
    <w:bookmarkEnd w:id="174"/>
    <w:bookmarkStart w:id="175"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5"/>
    <w:bookmarkStart w:id="176" w:name="table-2b"/>
    <w:p>
      <w:pPr>
        <w:pStyle w:val="berschrift2"/>
      </w:pPr>
      <w:r>
        <w:t xml:space="preserve">Table 2B</w:t>
      </w:r>
    </w:p>
    <w:bookmarkEnd w:id="176"/>
    <w:bookmarkStart w:id="177"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7"/>
    <w:bookmarkStart w:id="178" w:name="table-3"/>
    <w:p>
      <w:pPr>
        <w:pStyle w:val="berschrift2"/>
      </w:pPr>
      <w:r>
        <w:t xml:space="preserve">Table 3</w:t>
      </w:r>
    </w:p>
    <w:bookmarkEnd w:id="178"/>
    <w:bookmarkStart w:id="179"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r>
        <w:t xml:space="preserve"> </w:t>
      </w:r>
      <w:r>
        <w:t xml:space="preserve">Average sample size required for five hypothesis testing procedures across a range of unexpected effect sizes. All frequentist procedures were powered to detect an effect of</w:t>
      </w:r>
      <w:r>
        <w:t xml:space="preserve"> </w:t>
      </w:r>
      <m:oMath>
        <m:r>
          <m:t>δ</m:t>
        </m:r>
      </m:oMath>
      <w:r>
        <w:t xml:space="preserve"> </w:t>
      </w:r>
      <w:r>
        <w:t xml:space="preserve">= 0.5. For the Sequential Bayes Factor procedure, simulations were run to choose an optimal sample size, decision threshold, and prior distribution, with the goal of approaching similar error rates as the frequentist procedures.</w:t>
      </w:r>
    </w:p>
    <w:p>
      <w:r>
        <w:br w:type="page"/>
      </w:r>
    </w:p>
    <w:bookmarkEnd w:id="179"/>
    <w:bookmarkStart w:id="180" w:name="table-4"/>
    <w:p>
      <w:pPr>
        <w:pStyle w:val="berschrift2"/>
      </w:pPr>
      <w:r>
        <w:t xml:space="preserve">Table 4</w:t>
      </w:r>
    </w:p>
    <w:bookmarkEnd w:id="180"/>
    <w:bookmarkStart w:id="181"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Pocock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0.39</w:t>
            </w:r>
          </w:p>
        </w:tc>
        <w:tc>
          <w:tcPr/>
          <w:p>
            <w:pPr>
              <w:pStyle w:val="Compact"/>
              <w:jc w:val="right"/>
            </w:pPr>
            <w:r>
              <w:t xml:space="preserve">0.49</w:t>
            </w:r>
          </w:p>
        </w:tc>
        <w:tc>
          <w:tcPr/>
          <w:p>
            <w:pPr>
              <w:pStyle w:val="Compact"/>
              <w:jc w:val="right"/>
            </w:pPr>
            <w:r>
              <w:t xml:space="preserve">0.58</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0.49</w:t>
            </w:r>
          </w:p>
        </w:tc>
        <w:tc>
          <w:tcPr/>
          <w:p>
            <w:pPr>
              <w:pStyle w:val="Compact"/>
              <w:jc w:val="right"/>
            </w:pPr>
            <w:r>
              <w:t xml:space="preserve">0.59</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Bayes adjusted</w:t>
            </w:r>
          </w:p>
        </w:tc>
        <w:tc>
          <w:tcPr/>
          <w:p>
            <w:pPr>
              <w:pStyle w:val="Compact"/>
              <w:jc w:val="right"/>
            </w:pPr>
            <w:r>
              <w:t xml:space="preserve">-0.07</w:t>
            </w:r>
          </w:p>
        </w:tc>
        <w:tc>
          <w:tcPr/>
          <w:p>
            <w:pPr>
              <w:pStyle w:val="Compact"/>
              <w:jc w:val="right"/>
            </w:pPr>
            <w:r>
              <w:t xml:space="preserve">0.05</w:t>
            </w:r>
          </w:p>
        </w:tc>
        <w:tc>
          <w:tcPr/>
          <w:p>
            <w:pPr>
              <w:pStyle w:val="Compact"/>
              <w:jc w:val="right"/>
            </w:pPr>
            <w:r>
              <w:t xml:space="preserve">0.17</w:t>
            </w:r>
          </w:p>
        </w:tc>
        <w:tc>
          <w:tcPr/>
          <w:p>
            <w:pPr>
              <w:pStyle w:val="Compact"/>
              <w:jc w:val="right"/>
            </w:pPr>
            <w:r>
              <w:t xml:space="preserve">0.47</w:t>
            </w:r>
          </w:p>
        </w:tc>
        <w:tc>
          <w:tcPr/>
          <w:p>
            <w:pPr>
              <w:pStyle w:val="Compact"/>
              <w:jc w:val="right"/>
            </w:pPr>
            <w:r>
              <w:t xml:space="preserve">0.55</w:t>
            </w:r>
          </w:p>
        </w:tc>
        <w:tc>
          <w:tcPr/>
          <w:p>
            <w:pPr>
              <w:pStyle w:val="Compact"/>
              <w:jc w:val="right"/>
            </w:pPr>
            <w:r>
              <w:t xml:space="preserve">0.62</w:t>
            </w:r>
          </w:p>
        </w:tc>
        <w:tc>
          <w:tcPr/>
          <w:p>
            <w:pPr>
              <w:pStyle w:val="Compact"/>
              <w:jc w:val="right"/>
            </w:pPr>
            <w:r>
              <w:t xml:space="preserve">0.75</w:t>
            </w:r>
          </w:p>
        </w:tc>
        <w:tc>
          <w:tcPr/>
          <w:p>
            <w:pPr>
              <w:pStyle w:val="Compact"/>
              <w:jc w:val="right"/>
            </w:pPr>
            <w:r>
              <w:t xml:space="preserve">0.89</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naive effect size measure is Cohen’s</w:t>
      </w:r>
      <w:r>
        <w:t xml:space="preserve"> </w:t>
      </w:r>
      <w:r>
        <w:rPr>
          <w:iCs/>
          <w:i/>
        </w:rPr>
        <w:t xml:space="preserve">d</w:t>
      </w:r>
      <w:r>
        <w:t xml:space="preserve">. For the group-sequential designs, a median unbiased estimator (available in statistical software such as</w:t>
      </w:r>
      <w:r>
        <w:t xml:space="preserve"> </w:t>
      </w:r>
      <w:r>
        <w:rPr>
          <w:rStyle w:val="VerbatimChar"/>
        </w:rPr>
        <w:t xml:space="preserve">rpact</w:t>
      </w:r>
      <w:r>
        <w:t xml:space="preserve">, Wassmer &amp; Pahlke, 2020) was used to calculate the bias-adjusted estimate; for the Sequential Bayes Factor, the bias-adjusted estimate is the mean of the posterior distribution.</w:t>
      </w:r>
    </w:p>
    <w:p>
      <w:r>
        <w:br w:type="page"/>
      </w:r>
    </w:p>
    <w:bookmarkEnd w:id="181"/>
    <w:bookmarkStart w:id="182" w:name="figure-1a"/>
    <w:p>
      <w:pPr>
        <w:pStyle w:val="berschrift2"/>
      </w:pPr>
      <w:r>
        <w:t xml:space="preserve">Figure 1A</w:t>
      </w:r>
    </w:p>
    <w:bookmarkEnd w:id="182"/>
    <w:bookmarkStart w:id="184"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3"/>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equally spaced looks. Critical values are determined on the basis of Pocock-like</w:t>
      </w:r>
      <w:r>
        <w:t xml:space="preserve"> </w:t>
      </w:r>
      <m:oMath>
        <m:r>
          <m:t>α</m:t>
        </m:r>
      </m:oMath>
      <w:r>
        <w:t xml:space="preserve">- and</w:t>
      </w:r>
      <w:r>
        <w:t xml:space="preserve"> </w:t>
      </w:r>
      <m:oMath>
        <m:r>
          <m:t>β</m:t>
        </m:r>
      </m:oMath>
      <w:r>
        <w:t xml:space="preserve">-spending functions with binding futility bounds.</w:t>
      </w:r>
    </w:p>
    <w:p>
      <w:r>
        <w:br w:type="page"/>
      </w:r>
    </w:p>
    <w:bookmarkEnd w:id="184"/>
    <w:bookmarkStart w:id="185" w:name="figure-1b"/>
    <w:p>
      <w:pPr>
        <w:pStyle w:val="berschrift2"/>
      </w:pPr>
      <w:r>
        <w:t xml:space="preserve">Figure 1B</w:t>
      </w:r>
    </w:p>
    <w:bookmarkEnd w:id="185"/>
    <w:bookmarkStart w:id="187"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6"/>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unequally spaced looks (the looks were set to 50%, 75%, and 100% of the data, respectively). Critical values are determined on the basis of O’Brien-Fleming-like</w:t>
      </w:r>
      <w:r>
        <w:t xml:space="preserve"> </w:t>
      </w:r>
      <m:oMath>
        <m:r>
          <m:t>α</m:t>
        </m:r>
      </m:oMath>
      <w:r>
        <w:t xml:space="preserve">- and</w:t>
      </w:r>
      <w:r>
        <w:t xml:space="preserve"> </w:t>
      </w:r>
      <m:oMath>
        <m:r>
          <m:t>β</m:t>
        </m:r>
      </m:oMath>
      <w:r>
        <w:t xml:space="preserve">-spending functions with binding futility bounds.</w:t>
      </w:r>
    </w:p>
    <w:p>
      <w:r>
        <w:br w:type="page"/>
      </w:r>
    </w:p>
    <w:bookmarkEnd w:id="187"/>
    <w:bookmarkStart w:id="188" w:name="figure-2a"/>
    <w:p>
      <w:pPr>
        <w:pStyle w:val="berschrift2"/>
      </w:pPr>
      <w:r>
        <w:t xml:space="preserve">Figure 2A</w:t>
      </w:r>
    </w:p>
    <w:bookmarkEnd w:id="188"/>
    <w:bookmarkStart w:id="190"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89"/>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0"/>
    <w:bookmarkStart w:id="191" w:name="figure-2b"/>
    <w:p>
      <w:pPr>
        <w:pStyle w:val="berschrift2"/>
      </w:pPr>
      <w:r>
        <w:t xml:space="preserve">Figure 2B</w:t>
      </w:r>
    </w:p>
    <w:bookmarkEnd w:id="191"/>
    <w:bookmarkStart w:id="193"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2"/>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3"/>
    <w:bookmarkStart w:id="194" w:name="figure-3a"/>
    <w:p>
      <w:pPr>
        <w:pStyle w:val="berschrift2"/>
      </w:pPr>
      <w:r>
        <w:t xml:space="preserve">Figure 3A</w:t>
      </w:r>
    </w:p>
    <w:bookmarkEnd w:id="194"/>
    <w:bookmarkStart w:id="196"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 general comparison of the fixed sample hypothesis test and the independent segments procedure.</w:t>
      </w:r>
    </w:p>
    <w:p>
      <w:r>
        <w:br w:type="page"/>
      </w:r>
    </w:p>
    <w:bookmarkEnd w:id="196"/>
    <w:bookmarkStart w:id="197" w:name="figure-3b"/>
    <w:p>
      <w:pPr>
        <w:pStyle w:val="berschrift2"/>
      </w:pPr>
      <w:r>
        <w:t xml:space="preserve">Figure 3B</w:t>
      </w:r>
    </w:p>
    <w:bookmarkEnd w:id="197"/>
    <w:bookmarkStart w:id="199"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19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199"/>
    <w:bookmarkStart w:id="200" w:name="figure-4"/>
    <w:p>
      <w:pPr>
        <w:pStyle w:val="berschrift2"/>
      </w:pPr>
      <w:r>
        <w:t xml:space="preserve">Figure 4</w:t>
      </w:r>
    </w:p>
    <w:bookmarkEnd w:id="200"/>
    <w:bookmarkStart w:id="202" w:name="error-rates-of-the-four-procedures"/>
    <w:p>
      <w:pPr>
        <w:pStyle w:val="berschrift2"/>
      </w:pPr>
      <w:r>
        <w:rPr>
          <w:iCs/>
          <w:i/>
        </w:rPr>
        <w:t xml:space="preserve">Error rates of the four procedures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1"/>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2"/>
    <w:bookmarkStart w:id="203" w:name="figure-5"/>
    <w:p>
      <w:pPr>
        <w:pStyle w:val="berschrift2"/>
      </w:pPr>
      <w:r>
        <w:t xml:space="preserve">Figure 5</w:t>
      </w:r>
    </w:p>
    <w:bookmarkEnd w:id="203"/>
    <w:bookmarkStart w:id="205"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4"/>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5"/>
    <w:bookmarkStart w:id="206" w:name="figure-6"/>
    <w:p>
      <w:pPr>
        <w:pStyle w:val="berschrift2"/>
      </w:pPr>
      <w:r>
        <w:t xml:space="preserve">Figure 6</w:t>
      </w:r>
    </w:p>
    <w:bookmarkEnd w:id="206"/>
    <w:bookmarkStart w:id="208"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7"/>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using, for the frequentist procedures,</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and 22 for the Fixed Sample, Independent Segments, and Pocock-like hypothesis tests. For the O’Brien-Fleming test,</w:t>
      </w:r>
      <w:r>
        <w:t xml:space="preserve"> </w:t>
      </w:r>
      <w:r>
        <w:rPr>
          <w:iCs/>
          <w:i/>
        </w:rPr>
        <w:t xml:space="preserve">N</w:t>
      </w:r>
      <w:r>
        <w:t xml:space="preserve"> </w:t>
      </w:r>
      <w:r>
        <w:t xml:space="preserve">= 28 per group for the first look, and 14 per group for the last two looks. All sequential procedures were set to a maximum number of</w:t>
      </w:r>
      <w:r>
        <w:t xml:space="preserve"> </w:t>
      </w:r>
      <m:oMath>
        <m:sSub>
          <m:e>
            <m:r>
              <m:t>k</m:t>
            </m:r>
          </m:e>
          <m:sub>
            <m:r>
              <m:t>m</m:t>
            </m:r>
            <m:r>
              <m:t>a</m:t>
            </m:r>
            <m:r>
              <m:t>x</m:t>
            </m:r>
          </m:sub>
        </m:sSub>
      </m:oMath>
      <w:r>
        <w:t xml:space="preserve"> </w:t>
      </w:r>
      <w:r>
        <w:t xml:space="preserve">= 3 looks. For the Sequential Bayes Factor, data was collected in (at most three) batches of 22 subjects per group. Figure includes the median effect size estimate (the solid line is the naive estimate; the dashed line is the bias-adjusted estimate). The true effect size</w:t>
      </w:r>
      <w:r>
        <w:t xml:space="preserve"> </w:t>
      </w:r>
      <m:oMath>
        <m:r>
          <m:t>δ</m:t>
        </m:r>
      </m:oMath>
      <w:r>
        <w:t xml:space="preserve"> </w:t>
      </w:r>
      <w:r>
        <w:t xml:space="preserve">= 0.5.</w:t>
      </w:r>
    </w:p>
    <w:p>
      <w:r>
        <w:br w:type="page"/>
      </w:r>
    </w:p>
    <w:bookmarkEnd w:id="208"/>
    <w:bookmarkStart w:id="209" w:name="figure-7"/>
    <w:p>
      <w:pPr>
        <w:pStyle w:val="berschrift2"/>
      </w:pPr>
      <w:r>
        <w:t xml:space="preserve">Figure 7</w:t>
      </w:r>
    </w:p>
    <w:bookmarkEnd w:id="209"/>
    <w:bookmarkStart w:id="211" w:name="Xc2e6e3973d42e49c9af4aa1e154cd0ac86d3267"/>
    <w:p>
      <w:pPr>
        <w:pStyle w:val="berschrift2"/>
      </w:pPr>
      <w:r>
        <w:rPr>
          <w:iCs/>
          <w:i/>
        </w:rPr>
        <w:t xml:space="preserve">Median Bias in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7b.tiff" id="0" name="Picture"/>
                    <pic:cNvPicPr>
                      <a:picLocks noChangeArrowheads="1" noChangeAspect="1"/>
                    </pic:cNvPicPr>
                  </pic:nvPicPr>
                  <pic:blipFill>
                    <a:blip r:embed="rId210"/>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median estimated effect size minus the true effect size for the five different procedures. The median uncorrected effect size estimate is shown in red; the median bias-adjusted effect size estimate, if available, is shown in blue.</w:t>
      </w:r>
    </w:p>
    <w:p>
      <w:r>
        <w:br w:type="page"/>
      </w:r>
    </w:p>
    <w:bookmarkEnd w:id="211"/>
    <w:bookmarkStart w:id="212" w:name="figure-8"/>
    <w:p>
      <w:pPr>
        <w:pStyle w:val="berschrift2"/>
      </w:pPr>
      <w:r>
        <w:t xml:space="preserve">Figure 8</w:t>
      </w:r>
    </w:p>
    <w:bookmarkEnd w:id="212"/>
    <w:bookmarkStart w:id="214"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5969000" cy="3410857"/>
            <wp:effectExtent b="0" l="0" r="0" t="0"/>
            <wp:docPr descr="" title="" id="1" name="Picture"/>
            <a:graphic>
              <a:graphicData uri="http://schemas.openxmlformats.org/drawingml/2006/picture">
                <pic:pic>
                  <pic:nvPicPr>
                    <pic:cNvPr descr="figures/figure8b.tiff" id="0" name="Picture"/>
                    <pic:cNvPicPr>
                      <a:picLocks noChangeArrowheads="1" noChangeAspect="1"/>
                    </pic:cNvPicPr>
                  </pic:nvPicPr>
                  <pic:blipFill>
                    <a:blip r:embed="rId213"/>
                    <a:stretch>
                      <a:fillRect/>
                    </a:stretch>
                  </pic:blipFill>
                  <pic:spPr bwMode="auto">
                    <a:xfrm>
                      <a:off x="0" y="0"/>
                      <a:ext cx="5969000" cy="3410857"/>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squared bias, variance, and mean squared error (the sum of the squared bias and the variance) in empirical effect size estimates stemming from the five procedures. Results are split into two panels for the three procedures that have bias corrections available. For these three procedures – the Sequential Bayes Factor, Pocock-like group-sequential design, and O’Brien-Fleming-like group-sequential design – the top panel shows the bias and variance in the naive effect size estimates; the bottom panel shows the bias and variance in the bias-adjusted estimates.</w:t>
      </w:r>
    </w:p>
    <w:p>
      <w:r>
        <w:br w:type="page"/>
      </w:r>
    </w:p>
    <w:bookmarkEnd w:id="214"/>
    <w:bookmarkStart w:id="215" w:name="figure-9"/>
    <w:p>
      <w:pPr>
        <w:pStyle w:val="berschrift2"/>
      </w:pPr>
      <w:r>
        <w:t xml:space="preserve">Figure 9</w:t>
      </w:r>
    </w:p>
    <w:bookmarkEnd w:id="215"/>
    <w:bookmarkStart w:id="217"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6"/>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mean squared error in empirical effect size estimates by segment, and the overall mean squared error across all three segments. For the SBF and GS designs, corrected effect size estimates were used to calculate the MSE.</w:t>
      </w:r>
    </w:p>
    <w:bookmarkEnd w:id="217"/>
    <w:bookmarkEnd w:id="218"/>
    <w:bookmarkStart w:id="231" w:name="appendix-a"/>
    <w:p>
      <w:pPr>
        <w:pStyle w:val="berschrift1"/>
      </w:pPr>
      <w:r>
        <w:t xml:space="preserve">Appendix A</w:t>
      </w:r>
    </w:p>
    <w:bookmarkStart w:id="219" w:name="figure-a1"/>
    <w:p>
      <w:pPr>
        <w:pStyle w:val="berschrift2"/>
      </w:pPr>
      <w:r>
        <w:t xml:space="preserve">Figure A1</w:t>
      </w:r>
    </w:p>
    <w:bookmarkEnd w:id="219"/>
    <w:bookmarkStart w:id="221" w:name="X56da96823a1655b88d4694002e46425b4ea860f"/>
    <w:p>
      <w:pPr>
        <w:pStyle w:val="berschrift2"/>
      </w:pPr>
      <w:r>
        <w:rPr>
          <w:iCs/>
          <w:i/>
        </w:rPr>
        <w:t xml:space="preserve">Distribution of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0"/>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1"/>
    <w:bookmarkStart w:id="222" w:name="figure-a2"/>
    <w:p>
      <w:pPr>
        <w:pStyle w:val="berschrift2"/>
      </w:pPr>
      <w:r>
        <w:t xml:space="preserve">Figure A2</w:t>
      </w:r>
    </w:p>
    <w:bookmarkEnd w:id="222"/>
    <w:bookmarkStart w:id="224"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3"/>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4"/>
    <w:bookmarkStart w:id="225" w:name="figure-a3"/>
    <w:p>
      <w:pPr>
        <w:pStyle w:val="berschrift2"/>
      </w:pPr>
      <w:r>
        <w:t xml:space="preserve">Figure A3</w:t>
      </w:r>
    </w:p>
    <w:bookmarkEnd w:id="225"/>
    <w:bookmarkStart w:id="227" w:name="X6e95d38cc4d81043c1f64c301c38755fefc6130"/>
    <w:p>
      <w:pPr>
        <w:pStyle w:val="berschrift2"/>
      </w:pPr>
      <w:r>
        <w:rPr>
          <w:iCs/>
          <w:i/>
        </w:rPr>
        <w:t xml:space="preserve">Bias-Variance in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6"/>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7"/>
    <w:bookmarkStart w:id="228" w:name="figure-a4"/>
    <w:p>
      <w:pPr>
        <w:pStyle w:val="berschrift2"/>
      </w:pPr>
      <w:r>
        <w:t xml:space="preserve">Figure A4</w:t>
      </w:r>
    </w:p>
    <w:bookmarkEnd w:id="228"/>
    <w:bookmarkStart w:id="230"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29"/>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0"/>
    <w:bookmarkEnd w:id="23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0" Target="media/rId220.tiff" /><Relationship Type="http://schemas.openxmlformats.org/officeDocument/2006/relationships/image" Id="rId223" Target="media/rId223.tiff" /><Relationship Type="http://schemas.openxmlformats.org/officeDocument/2006/relationships/image" Id="rId226" Target="media/rId226.tiff" /><Relationship Type="http://schemas.openxmlformats.org/officeDocument/2006/relationships/image" Id="rId229" Target="media/rId229.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6" Target="media/rId216.tiff" /><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2021-11-08T08:20:57Z</dcterms:created>
  <dcterms:modified xsi:type="dcterms:W3CDTF">2021-11-08T08:20:57Z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osf.io/veczn/ and github.com/shilaan/sequential-testing.</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11,368</vt:lpwstr>
  </property>
</Properties>
</file>